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CEF2B" w14:textId="05681826" w:rsidR="006F5B0B" w:rsidRDefault="00862264">
      <w:pPr>
        <w:rPr>
          <w:b/>
          <w:bCs/>
          <w:sz w:val="24"/>
          <w:szCs w:val="24"/>
        </w:rPr>
      </w:pPr>
      <w:r w:rsidRPr="0001065D">
        <w:rPr>
          <w:b/>
          <w:bCs/>
          <w:sz w:val="24"/>
          <w:szCs w:val="24"/>
        </w:rPr>
        <w:t>Cycleway 1 cycling flow during Covid19 lockdown</w:t>
      </w:r>
    </w:p>
    <w:p w14:paraId="05732693" w14:textId="391FF4B2" w:rsidR="0001065D" w:rsidRPr="0001065D" w:rsidRDefault="0001065D">
      <w:pPr>
        <w:rPr>
          <w:i/>
          <w:iCs/>
          <w:sz w:val="24"/>
          <w:szCs w:val="24"/>
        </w:rPr>
      </w:pPr>
      <w:r w:rsidRPr="0001065D">
        <w:rPr>
          <w:i/>
          <w:iCs/>
          <w:sz w:val="24"/>
          <w:szCs w:val="24"/>
        </w:rPr>
        <w:t>Report by Bruce Lynn   21/6/20</w:t>
      </w:r>
    </w:p>
    <w:p w14:paraId="14FDDE7C" w14:textId="424F8A8B" w:rsidR="00862264" w:rsidRDefault="00862264">
      <w:r>
        <w:t>Key points</w:t>
      </w:r>
    </w:p>
    <w:p w14:paraId="0082D31D" w14:textId="64BFA9C0" w:rsidR="00862264" w:rsidRDefault="00862264" w:rsidP="00862264">
      <w:pPr>
        <w:pStyle w:val="ListParagraph"/>
        <w:numPr>
          <w:ilvl w:val="0"/>
          <w:numId w:val="1"/>
        </w:numPr>
      </w:pPr>
      <w:r>
        <w:t xml:space="preserve">Comparison at Willow </w:t>
      </w:r>
      <w:r w:rsidR="00727E77">
        <w:t>W</w:t>
      </w:r>
      <w:r>
        <w:t>alk with 6 years of previous data.</w:t>
      </w:r>
    </w:p>
    <w:p w14:paraId="71B3D88C" w14:textId="1E85B04F" w:rsidR="00862264" w:rsidRDefault="00727E77" w:rsidP="00862264">
      <w:pPr>
        <w:pStyle w:val="ListParagraph"/>
        <w:numPr>
          <w:ilvl w:val="0"/>
          <w:numId w:val="1"/>
        </w:numPr>
      </w:pPr>
      <w:r>
        <w:t xml:space="preserve">Midweek </w:t>
      </w:r>
      <w:r w:rsidR="00862264">
        <w:t>peak hour cycling down 70%</w:t>
      </w:r>
    </w:p>
    <w:p w14:paraId="6A1BB19D" w14:textId="47D3D00E" w:rsidR="00862264" w:rsidRDefault="00862264" w:rsidP="00862264">
      <w:pPr>
        <w:pStyle w:val="ListParagraph"/>
        <w:numPr>
          <w:ilvl w:val="0"/>
          <w:numId w:val="1"/>
        </w:numPr>
      </w:pPr>
      <w:r>
        <w:t>Contrasts with motor traffic only down 30%</w:t>
      </w:r>
    </w:p>
    <w:p w14:paraId="6B004C05" w14:textId="4CADDF53" w:rsidR="00862264" w:rsidRDefault="00862264" w:rsidP="00862264">
      <w:pPr>
        <w:pStyle w:val="ListParagraph"/>
        <w:numPr>
          <w:ilvl w:val="0"/>
          <w:numId w:val="1"/>
        </w:numPr>
      </w:pPr>
      <w:r>
        <w:t>Weekend cycling as high as weekday with 41% female riders</w:t>
      </w:r>
    </w:p>
    <w:p w14:paraId="455D596E" w14:textId="086569D7" w:rsidR="00862264" w:rsidRDefault="00394E59" w:rsidP="00862264">
      <w:r>
        <w:t>Weekday Cycle flows</w:t>
      </w:r>
    </w:p>
    <w:p w14:paraId="2E928A49" w14:textId="669EB020" w:rsidR="00394E59" w:rsidRDefault="00394E59" w:rsidP="00862264">
      <w:r>
        <w:rPr>
          <w:noProof/>
        </w:rPr>
        <w:drawing>
          <wp:inline distT="0" distB="0" distL="0" distR="0" wp14:anchorId="70D79A1B" wp14:editId="3F0016D1">
            <wp:extent cx="4410075" cy="2686050"/>
            <wp:effectExtent l="0" t="0" r="9525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5503EB37-1C0D-4710-9EC8-793611152F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5BEC11F" w14:textId="15C7AF54" w:rsidR="00E5614E" w:rsidRDefault="00394E59" w:rsidP="00862264">
      <w:r>
        <w:t xml:space="preserve">Large reduction in cycling, especially at the morning peak.  The drop is probably even greater than 70% as cycle flow has been increasing by 150/year on this route, so we would expect 2020 level to be approximately 1080 at am peak hour.  </w:t>
      </w:r>
      <w:r w:rsidR="00147A9A">
        <w:t xml:space="preserve">The pattern </w:t>
      </w:r>
      <w:r w:rsidR="008C2D6E">
        <w:t>i</w:t>
      </w:r>
      <w:r w:rsidR="00147A9A">
        <w:t>s still very tidal during lockdown. Flows out of to</w:t>
      </w:r>
      <w:r w:rsidR="006922E2">
        <w:t>w</w:t>
      </w:r>
      <w:r w:rsidR="00147A9A">
        <w:t xml:space="preserve">n in the morning and into town in the afternoon were low and </w:t>
      </w:r>
      <w:proofErr w:type="gramStart"/>
      <w:r w:rsidR="00147A9A">
        <w:t>similar</w:t>
      </w:r>
      <w:r w:rsidR="00727E77">
        <w:t xml:space="preserve"> </w:t>
      </w:r>
      <w:r w:rsidR="00147A9A">
        <w:t>to</w:t>
      </w:r>
      <w:proofErr w:type="gramEnd"/>
      <w:r w:rsidR="00147A9A">
        <w:t xml:space="preserve"> pre-lockdown levels (see Table).</w:t>
      </w:r>
    </w:p>
    <w:p w14:paraId="26C81608" w14:textId="36C78FFE" w:rsidR="00394E59" w:rsidRPr="00720772" w:rsidRDefault="00E5614E" w:rsidP="00862264">
      <w:pPr>
        <w:rPr>
          <w:u w:val="single"/>
        </w:rPr>
      </w:pPr>
      <w:r>
        <w:t>Table. Cycle flows (per hour) pre lockdown and midweek and weekends during lockdown. Wil</w:t>
      </w:r>
      <w:r w:rsidR="00727E77">
        <w:t>l</w:t>
      </w:r>
      <w:r>
        <w:t xml:space="preserve">ow </w:t>
      </w:r>
      <w:r w:rsidR="00727E77" w:rsidRPr="00720772">
        <w:rPr>
          <w:u w:val="single"/>
        </w:rPr>
        <w:t>W</w:t>
      </w:r>
      <w:r w:rsidRPr="00720772">
        <w:rPr>
          <w:u w:val="single"/>
        </w:rPr>
        <w:t>alk, Cycleway 1.</w:t>
      </w:r>
      <w:r w:rsidR="00394E59" w:rsidRPr="00720772">
        <w:rPr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"/>
        <w:gridCol w:w="1073"/>
        <w:gridCol w:w="1177"/>
        <w:gridCol w:w="1113"/>
        <w:gridCol w:w="1177"/>
        <w:gridCol w:w="1113"/>
        <w:gridCol w:w="1177"/>
        <w:gridCol w:w="1113"/>
      </w:tblGrid>
      <w:tr w:rsidR="00727E77" w:rsidRPr="00720772" w14:paraId="23F30D82" w14:textId="77777777" w:rsidTr="00825E9C">
        <w:tc>
          <w:tcPr>
            <w:tcW w:w="1073" w:type="dxa"/>
          </w:tcPr>
          <w:p w14:paraId="3D8A8210" w14:textId="77777777" w:rsidR="00727E77" w:rsidRPr="00720772" w:rsidRDefault="00727E77" w:rsidP="00862264">
            <w:pPr>
              <w:rPr>
                <w:u w:val="single"/>
              </w:rPr>
            </w:pPr>
          </w:p>
        </w:tc>
        <w:tc>
          <w:tcPr>
            <w:tcW w:w="1073" w:type="dxa"/>
          </w:tcPr>
          <w:p w14:paraId="45911BA8" w14:textId="77777777" w:rsidR="00727E77" w:rsidRPr="00720772" w:rsidRDefault="00727E77" w:rsidP="00862264">
            <w:pPr>
              <w:rPr>
                <w:u w:val="single"/>
              </w:rPr>
            </w:pPr>
          </w:p>
        </w:tc>
        <w:tc>
          <w:tcPr>
            <w:tcW w:w="2290" w:type="dxa"/>
            <w:gridSpan w:val="2"/>
          </w:tcPr>
          <w:p w14:paraId="43E3976D" w14:textId="5B9768B3" w:rsidR="00727E77" w:rsidRPr="00720772" w:rsidRDefault="00727E77" w:rsidP="00862264">
            <w:pPr>
              <w:rPr>
                <w:u w:val="single"/>
              </w:rPr>
            </w:pPr>
            <w:r w:rsidRPr="00720772">
              <w:rPr>
                <w:u w:val="single"/>
              </w:rPr>
              <w:t>Morning peak</w:t>
            </w:r>
          </w:p>
        </w:tc>
        <w:tc>
          <w:tcPr>
            <w:tcW w:w="2290" w:type="dxa"/>
            <w:gridSpan w:val="2"/>
          </w:tcPr>
          <w:p w14:paraId="48FAA40C" w14:textId="207F2759" w:rsidR="00727E77" w:rsidRPr="00720772" w:rsidRDefault="00727E77" w:rsidP="00862264">
            <w:pPr>
              <w:rPr>
                <w:u w:val="single"/>
              </w:rPr>
            </w:pPr>
            <w:r w:rsidRPr="00720772">
              <w:rPr>
                <w:u w:val="single"/>
              </w:rPr>
              <w:t>Middle of day</w:t>
            </w:r>
          </w:p>
        </w:tc>
        <w:tc>
          <w:tcPr>
            <w:tcW w:w="2290" w:type="dxa"/>
            <w:gridSpan w:val="2"/>
          </w:tcPr>
          <w:p w14:paraId="4EB8D5E8" w14:textId="5B57E58C" w:rsidR="00727E77" w:rsidRPr="00720772" w:rsidRDefault="00727E77" w:rsidP="00862264">
            <w:pPr>
              <w:rPr>
                <w:u w:val="single"/>
              </w:rPr>
            </w:pPr>
            <w:r w:rsidRPr="00720772">
              <w:rPr>
                <w:u w:val="single"/>
              </w:rPr>
              <w:t>Evening peak</w:t>
            </w:r>
          </w:p>
        </w:tc>
      </w:tr>
      <w:tr w:rsidR="00147A9A" w:rsidRPr="00720772" w14:paraId="4992B81A" w14:textId="77777777" w:rsidTr="00727E77">
        <w:tc>
          <w:tcPr>
            <w:tcW w:w="1073" w:type="dxa"/>
          </w:tcPr>
          <w:p w14:paraId="3E5A011A" w14:textId="77777777" w:rsidR="00E5614E" w:rsidRPr="00720772" w:rsidRDefault="00E5614E" w:rsidP="00E5614E">
            <w:pPr>
              <w:rPr>
                <w:u w:val="single"/>
              </w:rPr>
            </w:pPr>
          </w:p>
        </w:tc>
        <w:tc>
          <w:tcPr>
            <w:tcW w:w="1073" w:type="dxa"/>
          </w:tcPr>
          <w:p w14:paraId="030FEE8E" w14:textId="77777777" w:rsidR="00E5614E" w:rsidRPr="00720772" w:rsidRDefault="00E5614E" w:rsidP="00E5614E">
            <w:pPr>
              <w:rPr>
                <w:u w:val="single"/>
              </w:rPr>
            </w:pPr>
          </w:p>
        </w:tc>
        <w:tc>
          <w:tcPr>
            <w:tcW w:w="1177" w:type="dxa"/>
          </w:tcPr>
          <w:p w14:paraId="1DE92A39" w14:textId="71850F13" w:rsidR="00E5614E" w:rsidRPr="00720772" w:rsidRDefault="00E5614E" w:rsidP="00E5614E">
            <w:pPr>
              <w:rPr>
                <w:u w:val="single"/>
              </w:rPr>
            </w:pPr>
            <w:proofErr w:type="spellStart"/>
            <w:r w:rsidRPr="00720772">
              <w:rPr>
                <w:u w:val="single"/>
              </w:rPr>
              <w:t>Westbnd</w:t>
            </w:r>
            <w:proofErr w:type="spellEnd"/>
          </w:p>
        </w:tc>
        <w:tc>
          <w:tcPr>
            <w:tcW w:w="1113" w:type="dxa"/>
          </w:tcPr>
          <w:p w14:paraId="15059624" w14:textId="58FBF4E6" w:rsidR="00E5614E" w:rsidRPr="00720772" w:rsidRDefault="00E5614E" w:rsidP="00E5614E">
            <w:pPr>
              <w:rPr>
                <w:u w:val="single"/>
              </w:rPr>
            </w:pPr>
            <w:proofErr w:type="spellStart"/>
            <w:r w:rsidRPr="00720772">
              <w:rPr>
                <w:u w:val="single"/>
              </w:rPr>
              <w:t>Eastbnd</w:t>
            </w:r>
            <w:proofErr w:type="spellEnd"/>
          </w:p>
        </w:tc>
        <w:tc>
          <w:tcPr>
            <w:tcW w:w="1177" w:type="dxa"/>
          </w:tcPr>
          <w:p w14:paraId="125D96DB" w14:textId="70068151" w:rsidR="00E5614E" w:rsidRPr="00720772" w:rsidRDefault="00E5614E" w:rsidP="00E5614E">
            <w:pPr>
              <w:rPr>
                <w:u w:val="single"/>
              </w:rPr>
            </w:pPr>
            <w:proofErr w:type="spellStart"/>
            <w:r w:rsidRPr="00720772">
              <w:rPr>
                <w:u w:val="single"/>
              </w:rPr>
              <w:t>Westbnd</w:t>
            </w:r>
            <w:proofErr w:type="spellEnd"/>
          </w:p>
        </w:tc>
        <w:tc>
          <w:tcPr>
            <w:tcW w:w="1113" w:type="dxa"/>
          </w:tcPr>
          <w:p w14:paraId="2B7116BE" w14:textId="2C027E01" w:rsidR="00E5614E" w:rsidRPr="00720772" w:rsidRDefault="00E5614E" w:rsidP="00E5614E">
            <w:pPr>
              <w:rPr>
                <w:u w:val="single"/>
              </w:rPr>
            </w:pPr>
            <w:proofErr w:type="spellStart"/>
            <w:r w:rsidRPr="00720772">
              <w:rPr>
                <w:u w:val="single"/>
              </w:rPr>
              <w:t>Eastbnd</w:t>
            </w:r>
            <w:proofErr w:type="spellEnd"/>
          </w:p>
        </w:tc>
        <w:tc>
          <w:tcPr>
            <w:tcW w:w="1177" w:type="dxa"/>
          </w:tcPr>
          <w:p w14:paraId="2C823FEE" w14:textId="405BD202" w:rsidR="00E5614E" w:rsidRPr="00720772" w:rsidRDefault="00E5614E" w:rsidP="00E5614E">
            <w:pPr>
              <w:rPr>
                <w:u w:val="single"/>
              </w:rPr>
            </w:pPr>
            <w:proofErr w:type="spellStart"/>
            <w:r w:rsidRPr="00720772">
              <w:rPr>
                <w:u w:val="single"/>
              </w:rPr>
              <w:t>Westbnd</w:t>
            </w:r>
            <w:proofErr w:type="spellEnd"/>
          </w:p>
        </w:tc>
        <w:tc>
          <w:tcPr>
            <w:tcW w:w="1113" w:type="dxa"/>
          </w:tcPr>
          <w:p w14:paraId="1BDB5D30" w14:textId="61450CA4" w:rsidR="00E5614E" w:rsidRPr="00720772" w:rsidRDefault="00E5614E" w:rsidP="00E5614E">
            <w:pPr>
              <w:rPr>
                <w:u w:val="single"/>
              </w:rPr>
            </w:pPr>
            <w:proofErr w:type="spellStart"/>
            <w:r w:rsidRPr="00720772">
              <w:rPr>
                <w:u w:val="single"/>
              </w:rPr>
              <w:t>Eastbnd</w:t>
            </w:r>
            <w:proofErr w:type="spellEnd"/>
          </w:p>
        </w:tc>
      </w:tr>
      <w:tr w:rsidR="00147A9A" w:rsidRPr="00720772" w14:paraId="3707F94C" w14:textId="77777777" w:rsidTr="00727E77">
        <w:tc>
          <w:tcPr>
            <w:tcW w:w="1073" w:type="dxa"/>
          </w:tcPr>
          <w:p w14:paraId="1CADAA18" w14:textId="1708D65F" w:rsidR="00E5614E" w:rsidRPr="00720772" w:rsidRDefault="00E5614E" w:rsidP="00862264">
            <w:pPr>
              <w:rPr>
                <w:u w:val="single"/>
              </w:rPr>
            </w:pPr>
            <w:r w:rsidRPr="00720772">
              <w:rPr>
                <w:u w:val="single"/>
              </w:rPr>
              <w:t>Midweek pre</w:t>
            </w:r>
          </w:p>
        </w:tc>
        <w:tc>
          <w:tcPr>
            <w:tcW w:w="1073" w:type="dxa"/>
          </w:tcPr>
          <w:p w14:paraId="404E288D" w14:textId="34AFF38C" w:rsidR="00E5614E" w:rsidRPr="00720772" w:rsidRDefault="00E5614E" w:rsidP="00862264">
            <w:pPr>
              <w:rPr>
                <w:u w:val="single"/>
              </w:rPr>
            </w:pPr>
            <w:r w:rsidRPr="00720772">
              <w:rPr>
                <w:u w:val="single"/>
              </w:rPr>
              <w:t>1May19</w:t>
            </w:r>
          </w:p>
        </w:tc>
        <w:tc>
          <w:tcPr>
            <w:tcW w:w="1177" w:type="dxa"/>
          </w:tcPr>
          <w:p w14:paraId="4D631CBB" w14:textId="2F448B96" w:rsidR="00E5614E" w:rsidRPr="00720772" w:rsidRDefault="00147A9A" w:rsidP="00862264">
            <w:pPr>
              <w:rPr>
                <w:u w:val="single"/>
              </w:rPr>
            </w:pPr>
            <w:r w:rsidRPr="00720772">
              <w:rPr>
                <w:u w:val="single"/>
              </w:rPr>
              <w:t>933</w:t>
            </w:r>
          </w:p>
        </w:tc>
        <w:tc>
          <w:tcPr>
            <w:tcW w:w="1113" w:type="dxa"/>
          </w:tcPr>
          <w:p w14:paraId="6E520CBF" w14:textId="1DE642F2" w:rsidR="00E5614E" w:rsidRPr="00720772" w:rsidRDefault="00147A9A" w:rsidP="00862264">
            <w:pPr>
              <w:rPr>
                <w:u w:val="single"/>
              </w:rPr>
            </w:pPr>
            <w:r w:rsidRPr="00720772">
              <w:rPr>
                <w:u w:val="single"/>
              </w:rPr>
              <w:t>35</w:t>
            </w:r>
          </w:p>
        </w:tc>
        <w:tc>
          <w:tcPr>
            <w:tcW w:w="1177" w:type="dxa"/>
          </w:tcPr>
          <w:p w14:paraId="5CBFDAEB" w14:textId="77777777" w:rsidR="00E5614E" w:rsidRPr="00720772" w:rsidRDefault="00E5614E" w:rsidP="00862264">
            <w:pPr>
              <w:rPr>
                <w:u w:val="single"/>
              </w:rPr>
            </w:pPr>
          </w:p>
        </w:tc>
        <w:tc>
          <w:tcPr>
            <w:tcW w:w="1113" w:type="dxa"/>
          </w:tcPr>
          <w:p w14:paraId="473E59FD" w14:textId="77777777" w:rsidR="00E5614E" w:rsidRPr="00720772" w:rsidRDefault="00E5614E" w:rsidP="00862264">
            <w:pPr>
              <w:rPr>
                <w:u w:val="single"/>
              </w:rPr>
            </w:pPr>
          </w:p>
        </w:tc>
        <w:tc>
          <w:tcPr>
            <w:tcW w:w="1177" w:type="dxa"/>
          </w:tcPr>
          <w:p w14:paraId="3E0F18F9" w14:textId="7B12ACF5" w:rsidR="00E5614E" w:rsidRPr="00720772" w:rsidRDefault="00147A9A" w:rsidP="00862264">
            <w:pPr>
              <w:rPr>
                <w:u w:val="single"/>
              </w:rPr>
            </w:pPr>
            <w:r w:rsidRPr="00720772">
              <w:rPr>
                <w:u w:val="single"/>
              </w:rPr>
              <w:t>66</w:t>
            </w:r>
          </w:p>
        </w:tc>
        <w:tc>
          <w:tcPr>
            <w:tcW w:w="1113" w:type="dxa"/>
          </w:tcPr>
          <w:p w14:paraId="643DEF08" w14:textId="5FA8FC92" w:rsidR="00E5614E" w:rsidRPr="00720772" w:rsidRDefault="00147A9A" w:rsidP="00862264">
            <w:pPr>
              <w:rPr>
                <w:u w:val="single"/>
              </w:rPr>
            </w:pPr>
            <w:r w:rsidRPr="00720772">
              <w:rPr>
                <w:u w:val="single"/>
              </w:rPr>
              <w:t>691</w:t>
            </w:r>
          </w:p>
        </w:tc>
      </w:tr>
      <w:tr w:rsidR="00147A9A" w:rsidRPr="00720772" w14:paraId="0CECBC9C" w14:textId="77777777" w:rsidTr="00727E77">
        <w:tc>
          <w:tcPr>
            <w:tcW w:w="1073" w:type="dxa"/>
          </w:tcPr>
          <w:p w14:paraId="47F3A7F5" w14:textId="6C822662" w:rsidR="00E5614E" w:rsidRPr="00720772" w:rsidRDefault="00E5614E" w:rsidP="00862264">
            <w:pPr>
              <w:rPr>
                <w:u w:val="single"/>
              </w:rPr>
            </w:pPr>
            <w:r w:rsidRPr="00720772">
              <w:rPr>
                <w:u w:val="single"/>
              </w:rPr>
              <w:t>Midweek during</w:t>
            </w:r>
          </w:p>
        </w:tc>
        <w:tc>
          <w:tcPr>
            <w:tcW w:w="1073" w:type="dxa"/>
          </w:tcPr>
          <w:p w14:paraId="0CC51503" w14:textId="0B5D4786" w:rsidR="00E5614E" w:rsidRPr="00720772" w:rsidRDefault="00E5614E" w:rsidP="00862264">
            <w:pPr>
              <w:rPr>
                <w:u w:val="single"/>
              </w:rPr>
            </w:pPr>
            <w:r w:rsidRPr="00720772">
              <w:rPr>
                <w:u w:val="single"/>
              </w:rPr>
              <w:t>16June20</w:t>
            </w:r>
          </w:p>
        </w:tc>
        <w:tc>
          <w:tcPr>
            <w:tcW w:w="1177" w:type="dxa"/>
          </w:tcPr>
          <w:p w14:paraId="697F498D" w14:textId="573926C0" w:rsidR="00E5614E" w:rsidRPr="00720772" w:rsidRDefault="00147A9A" w:rsidP="00862264">
            <w:pPr>
              <w:rPr>
                <w:u w:val="single"/>
              </w:rPr>
            </w:pPr>
            <w:r w:rsidRPr="00720772">
              <w:rPr>
                <w:u w:val="single"/>
              </w:rPr>
              <w:t>223</w:t>
            </w:r>
          </w:p>
        </w:tc>
        <w:tc>
          <w:tcPr>
            <w:tcW w:w="1113" w:type="dxa"/>
          </w:tcPr>
          <w:p w14:paraId="5335A779" w14:textId="319796B1" w:rsidR="00E5614E" w:rsidRPr="00720772" w:rsidRDefault="00147A9A" w:rsidP="00862264">
            <w:pPr>
              <w:rPr>
                <w:u w:val="single"/>
              </w:rPr>
            </w:pPr>
            <w:r w:rsidRPr="00720772">
              <w:rPr>
                <w:u w:val="single"/>
              </w:rPr>
              <w:t>41</w:t>
            </w:r>
          </w:p>
        </w:tc>
        <w:tc>
          <w:tcPr>
            <w:tcW w:w="1177" w:type="dxa"/>
          </w:tcPr>
          <w:p w14:paraId="4C66B375" w14:textId="109188B9" w:rsidR="00E5614E" w:rsidRPr="00720772" w:rsidRDefault="00147A9A" w:rsidP="00862264">
            <w:pPr>
              <w:rPr>
                <w:u w:val="single"/>
              </w:rPr>
            </w:pPr>
            <w:r w:rsidRPr="00720772">
              <w:rPr>
                <w:u w:val="single"/>
              </w:rPr>
              <w:t>56</w:t>
            </w:r>
          </w:p>
        </w:tc>
        <w:tc>
          <w:tcPr>
            <w:tcW w:w="1113" w:type="dxa"/>
          </w:tcPr>
          <w:p w14:paraId="1AFF7BED" w14:textId="677B2D5C" w:rsidR="00E5614E" w:rsidRPr="00720772" w:rsidRDefault="00147A9A" w:rsidP="00862264">
            <w:pPr>
              <w:rPr>
                <w:u w:val="single"/>
              </w:rPr>
            </w:pPr>
            <w:r w:rsidRPr="00720772">
              <w:rPr>
                <w:u w:val="single"/>
              </w:rPr>
              <w:t>60</w:t>
            </w:r>
          </w:p>
        </w:tc>
        <w:tc>
          <w:tcPr>
            <w:tcW w:w="1177" w:type="dxa"/>
          </w:tcPr>
          <w:p w14:paraId="56420691" w14:textId="2FBF3025" w:rsidR="00E5614E" w:rsidRPr="00720772" w:rsidRDefault="00147A9A" w:rsidP="00862264">
            <w:pPr>
              <w:rPr>
                <w:u w:val="single"/>
              </w:rPr>
            </w:pPr>
            <w:r w:rsidRPr="00720772">
              <w:rPr>
                <w:u w:val="single"/>
              </w:rPr>
              <w:t>96</w:t>
            </w:r>
          </w:p>
        </w:tc>
        <w:tc>
          <w:tcPr>
            <w:tcW w:w="1113" w:type="dxa"/>
          </w:tcPr>
          <w:p w14:paraId="3E02CFDA" w14:textId="2EB07996" w:rsidR="00E5614E" w:rsidRPr="00720772" w:rsidRDefault="00147A9A" w:rsidP="00862264">
            <w:pPr>
              <w:rPr>
                <w:u w:val="single"/>
              </w:rPr>
            </w:pPr>
            <w:r w:rsidRPr="00720772">
              <w:rPr>
                <w:u w:val="single"/>
              </w:rPr>
              <w:t>216</w:t>
            </w:r>
          </w:p>
        </w:tc>
      </w:tr>
      <w:tr w:rsidR="00147A9A" w:rsidRPr="00720772" w14:paraId="3312E018" w14:textId="77777777" w:rsidTr="00727E77">
        <w:tc>
          <w:tcPr>
            <w:tcW w:w="1073" w:type="dxa"/>
          </w:tcPr>
          <w:p w14:paraId="710C5B0D" w14:textId="6338C269" w:rsidR="00E5614E" w:rsidRPr="00720772" w:rsidRDefault="00E5614E" w:rsidP="00862264">
            <w:pPr>
              <w:rPr>
                <w:u w:val="single"/>
              </w:rPr>
            </w:pPr>
            <w:r w:rsidRPr="00720772">
              <w:rPr>
                <w:u w:val="single"/>
              </w:rPr>
              <w:t>Weekend during</w:t>
            </w:r>
          </w:p>
        </w:tc>
        <w:tc>
          <w:tcPr>
            <w:tcW w:w="1073" w:type="dxa"/>
          </w:tcPr>
          <w:p w14:paraId="13CC02DC" w14:textId="260405CB" w:rsidR="00E5614E" w:rsidRPr="00720772" w:rsidRDefault="00E5614E" w:rsidP="00862264">
            <w:pPr>
              <w:rPr>
                <w:u w:val="single"/>
              </w:rPr>
            </w:pPr>
            <w:r w:rsidRPr="00720772">
              <w:rPr>
                <w:u w:val="single"/>
              </w:rPr>
              <w:t>14</w:t>
            </w:r>
            <w:r w:rsidR="00147A9A" w:rsidRPr="00720772">
              <w:rPr>
                <w:u w:val="single"/>
              </w:rPr>
              <w:t>J</w:t>
            </w:r>
            <w:r w:rsidRPr="00720772">
              <w:rPr>
                <w:u w:val="single"/>
              </w:rPr>
              <w:t>un</w:t>
            </w:r>
            <w:r w:rsidR="00147A9A" w:rsidRPr="00720772">
              <w:rPr>
                <w:u w:val="single"/>
              </w:rPr>
              <w:t>e</w:t>
            </w:r>
            <w:r w:rsidRPr="00720772">
              <w:rPr>
                <w:u w:val="single"/>
              </w:rPr>
              <w:t>20</w:t>
            </w:r>
          </w:p>
        </w:tc>
        <w:tc>
          <w:tcPr>
            <w:tcW w:w="1177" w:type="dxa"/>
          </w:tcPr>
          <w:p w14:paraId="020DEC46" w14:textId="6C260C40" w:rsidR="00E5614E" w:rsidRPr="00720772" w:rsidRDefault="00147A9A" w:rsidP="00862264">
            <w:pPr>
              <w:rPr>
                <w:u w:val="single"/>
              </w:rPr>
            </w:pPr>
            <w:r w:rsidRPr="00720772">
              <w:rPr>
                <w:u w:val="single"/>
              </w:rPr>
              <w:t>54</w:t>
            </w:r>
          </w:p>
        </w:tc>
        <w:tc>
          <w:tcPr>
            <w:tcW w:w="1113" w:type="dxa"/>
          </w:tcPr>
          <w:p w14:paraId="6B2DF84B" w14:textId="3EA13BAF" w:rsidR="00E5614E" w:rsidRPr="00720772" w:rsidRDefault="00147A9A" w:rsidP="00862264">
            <w:pPr>
              <w:rPr>
                <w:u w:val="single"/>
              </w:rPr>
            </w:pPr>
            <w:r w:rsidRPr="00720772">
              <w:rPr>
                <w:u w:val="single"/>
              </w:rPr>
              <w:t>81</w:t>
            </w:r>
          </w:p>
        </w:tc>
        <w:tc>
          <w:tcPr>
            <w:tcW w:w="1177" w:type="dxa"/>
          </w:tcPr>
          <w:p w14:paraId="5D9B3E4C" w14:textId="0EE28474" w:rsidR="00E5614E" w:rsidRPr="00720772" w:rsidRDefault="00147A9A" w:rsidP="00862264">
            <w:pPr>
              <w:rPr>
                <w:u w:val="single"/>
              </w:rPr>
            </w:pPr>
            <w:r w:rsidRPr="00720772">
              <w:rPr>
                <w:u w:val="single"/>
              </w:rPr>
              <w:t>230</w:t>
            </w:r>
          </w:p>
        </w:tc>
        <w:tc>
          <w:tcPr>
            <w:tcW w:w="1113" w:type="dxa"/>
          </w:tcPr>
          <w:p w14:paraId="27B1CD7E" w14:textId="6B408CAF" w:rsidR="00E5614E" w:rsidRPr="00720772" w:rsidRDefault="00147A9A" w:rsidP="00862264">
            <w:pPr>
              <w:rPr>
                <w:u w:val="single"/>
              </w:rPr>
            </w:pPr>
            <w:r w:rsidRPr="00720772">
              <w:rPr>
                <w:u w:val="single"/>
              </w:rPr>
              <w:t>110</w:t>
            </w:r>
          </w:p>
        </w:tc>
        <w:tc>
          <w:tcPr>
            <w:tcW w:w="1177" w:type="dxa"/>
          </w:tcPr>
          <w:p w14:paraId="6B25131E" w14:textId="188ECBA3" w:rsidR="00E5614E" w:rsidRPr="00720772" w:rsidRDefault="00147A9A" w:rsidP="00862264">
            <w:pPr>
              <w:rPr>
                <w:u w:val="single"/>
              </w:rPr>
            </w:pPr>
            <w:r w:rsidRPr="00720772">
              <w:rPr>
                <w:u w:val="single"/>
              </w:rPr>
              <w:t>65</w:t>
            </w:r>
          </w:p>
        </w:tc>
        <w:tc>
          <w:tcPr>
            <w:tcW w:w="1113" w:type="dxa"/>
          </w:tcPr>
          <w:p w14:paraId="085B5685" w14:textId="73AF9BD5" w:rsidR="00E5614E" w:rsidRPr="00720772" w:rsidRDefault="00147A9A" w:rsidP="00862264">
            <w:pPr>
              <w:rPr>
                <w:u w:val="single"/>
              </w:rPr>
            </w:pPr>
            <w:r w:rsidRPr="00720772">
              <w:rPr>
                <w:u w:val="single"/>
              </w:rPr>
              <w:t>115</w:t>
            </w:r>
          </w:p>
        </w:tc>
      </w:tr>
    </w:tbl>
    <w:p w14:paraId="00066572" w14:textId="38D1C6C4" w:rsidR="00E5614E" w:rsidRPr="00720772" w:rsidRDefault="00E5614E" w:rsidP="00862264">
      <w:pPr>
        <w:rPr>
          <w:u w:val="single"/>
        </w:rPr>
      </w:pPr>
    </w:p>
    <w:p w14:paraId="62C30C84" w14:textId="6EE784B7" w:rsidR="006922E2" w:rsidRDefault="006922E2" w:rsidP="00862264">
      <w:r>
        <w:t>Weekend cycling.</w:t>
      </w:r>
    </w:p>
    <w:p w14:paraId="5074BC45" w14:textId="4B53B65E" w:rsidR="007D6C82" w:rsidRDefault="006922E2" w:rsidP="00862264">
      <w:r>
        <w:t>As is generally the case during lockdown, leisure cycling at weekends is high.  The Table gives flows on a sunny Sunday during lockdown.</w:t>
      </w:r>
      <w:r w:rsidR="00F1209C">
        <w:t xml:space="preserve">  </w:t>
      </w:r>
      <w:r w:rsidR="008C2D6E">
        <w:t>No d</w:t>
      </w:r>
      <w:r w:rsidR="00F1209C">
        <w:t xml:space="preserve">ata </w:t>
      </w:r>
      <w:r w:rsidR="008C2D6E">
        <w:t xml:space="preserve">is available on </w:t>
      </w:r>
      <w:r w:rsidR="00F1209C">
        <w:t xml:space="preserve">weekend cycling </w:t>
      </w:r>
      <w:r w:rsidR="008C2D6E">
        <w:t xml:space="preserve">pre lockdown.  Might </w:t>
      </w:r>
      <w:r w:rsidR="008C2D6E">
        <w:lastRenderedPageBreak/>
        <w:t xml:space="preserve">be expected to be about 30% </w:t>
      </w:r>
      <w:r w:rsidR="007D6C82">
        <w:t xml:space="preserve">of weekday total daily flow (TfL Cordon data, </w:t>
      </w:r>
      <w:hyperlink r:id="rId6" w:history="1">
        <w:r w:rsidR="007D6C82" w:rsidRPr="00164802">
          <w:rPr>
            <w:rStyle w:val="Hyperlink"/>
          </w:rPr>
          <w:t>http://content.tfl.gov.uk/traffic-note-3-cordon-and-screenline-surveys-2011.pdf</w:t>
        </w:r>
      </w:hyperlink>
      <w:r w:rsidR="007D6C82">
        <w:rPr>
          <w:rStyle w:val="Hyperlink"/>
        </w:rPr>
        <w:t>)</w:t>
      </w:r>
    </w:p>
    <w:p w14:paraId="79046B57" w14:textId="0CED4ADF" w:rsidR="007D6C82" w:rsidRDefault="007D6C82" w:rsidP="00862264">
      <w:r>
        <w:t xml:space="preserve">To estimate weekday daily flow can use the profile from </w:t>
      </w:r>
      <w:r w:rsidRPr="00316AC6">
        <w:t>Travel in London, Report 11, Fig 5.4</w:t>
      </w:r>
      <w:r>
        <w:t xml:space="preserve">. For May 2019 this gives 3990 daily flow. 30% of this, </w:t>
      </w:r>
      <w:r w:rsidR="00152209">
        <w:t>the</w:t>
      </w:r>
      <w:r>
        <w:t xml:space="preserve"> est</w:t>
      </w:r>
      <w:r w:rsidR="004E5F81">
        <w:t>i</w:t>
      </w:r>
      <w:r>
        <w:t>mate for weekend flow</w:t>
      </w:r>
      <w:r w:rsidR="004E5F81">
        <w:t>,</w:t>
      </w:r>
      <w:r>
        <w:t xml:space="preserve"> is 1797.</w:t>
      </w:r>
      <w:r w:rsidR="00152209">
        <w:t xml:space="preserve">  We can estimate dai</w:t>
      </w:r>
      <w:r w:rsidR="004E5F81">
        <w:t>l</w:t>
      </w:r>
      <w:r w:rsidR="00152209">
        <w:t xml:space="preserve">y flow for the lockdown samples by assuming a similar profile to Jamaica Rd where we have enough data to construct an accurate profile.  This gives a value of 3088 for the total flow on 15 June 2020.  This is 72% higher than the estimate </w:t>
      </w:r>
      <w:r w:rsidR="004E5F81">
        <w:t>for</w:t>
      </w:r>
      <w:r w:rsidR="00152209">
        <w:t xml:space="preserve"> 2019.  This is not as large as the increase estimated f</w:t>
      </w:r>
      <w:r w:rsidR="004E5F81">
        <w:t>o</w:t>
      </w:r>
      <w:r w:rsidR="00152209">
        <w:t>r Jamaica Rd, 202%.   But there are many assumptions in both calculations and anyway there is no reason to expect all roads to increase by the same amount.  What we can say is that,</w:t>
      </w:r>
      <w:r w:rsidR="004E5F81">
        <w:t xml:space="preserve"> </w:t>
      </w:r>
      <w:r w:rsidR="00152209">
        <w:t>unlike weekday flows that are way down, cycl</w:t>
      </w:r>
      <w:r w:rsidR="004E5F81">
        <w:t>e</w:t>
      </w:r>
      <w:r w:rsidR="00152209">
        <w:t xml:space="preserve"> flows at weekends are up.</w:t>
      </w:r>
    </w:p>
    <w:p w14:paraId="436DD10F" w14:textId="5EE6B159" w:rsidR="00152209" w:rsidRDefault="00152209" w:rsidP="00862264">
      <w:r>
        <w:t>Male-female ratio</w:t>
      </w:r>
    </w:p>
    <w:p w14:paraId="532E91A0" w14:textId="3BEB60B9" w:rsidR="004E5F81" w:rsidRDefault="00D11FF2" w:rsidP="00862264">
      <w:r>
        <w:rPr>
          <w:noProof/>
        </w:rPr>
        <w:drawing>
          <wp:inline distT="0" distB="0" distL="0" distR="0" wp14:anchorId="542A2414" wp14:editId="5637C70D">
            <wp:extent cx="2705100" cy="32004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23C2C8ED-5C6A-481B-84C5-9BB5B6051E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D11FF2">
        <w:rPr>
          <w:noProof/>
        </w:rPr>
        <w:t xml:space="preserve"> </w:t>
      </w:r>
      <w:r>
        <w:rPr>
          <w:noProof/>
        </w:rPr>
        <w:drawing>
          <wp:inline distT="0" distB="0" distL="0" distR="0" wp14:anchorId="748464CA" wp14:editId="7C3E64B5">
            <wp:extent cx="2847975" cy="3190875"/>
            <wp:effectExtent l="0" t="0" r="9525" b="952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883DDF6C-31D0-4468-8EA0-82C23B7B0EF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0B08C05" w14:textId="655CA7F7" w:rsidR="004E5F81" w:rsidRDefault="00D11FF2" w:rsidP="00862264">
      <w:pPr>
        <w:rPr>
          <w:rStyle w:val="Hyperlink"/>
        </w:rPr>
      </w:pPr>
      <w:r>
        <w:t xml:space="preserve">There are more female cyclists during the week </w:t>
      </w:r>
      <w:r w:rsidR="00D537B4">
        <w:t>now, under</w:t>
      </w:r>
      <w:r>
        <w:t xml:space="preserve"> lockdown, but the difference is not statistically significant. This increase is </w:t>
      </w:r>
      <w:proofErr w:type="gramStart"/>
      <w:r>
        <w:t>similar to</w:t>
      </w:r>
      <w:proofErr w:type="gramEnd"/>
      <w:r>
        <w:t xml:space="preserve"> that seen on Jamaica Rd where it did reach significance.  There is a markedly higher proportion of female cyclists </w:t>
      </w:r>
      <w:r w:rsidR="00D537B4">
        <w:t>at</w:t>
      </w:r>
      <w:r>
        <w:t xml:space="preserve"> weekends comp</w:t>
      </w:r>
      <w:r w:rsidR="00727E77">
        <w:t>a</w:t>
      </w:r>
      <w:r>
        <w:t xml:space="preserve">red with midweek.  This is probably because </w:t>
      </w:r>
      <w:r w:rsidR="00D537B4">
        <w:t>t</w:t>
      </w:r>
      <w:r>
        <w:t>here are relatively more female leisure cyclists than</w:t>
      </w:r>
      <w:r w:rsidR="00D537B4">
        <w:t xml:space="preserve"> there are</w:t>
      </w:r>
      <w:r>
        <w:t xml:space="preserve"> in the group who cycle to work.</w:t>
      </w:r>
    </w:p>
    <w:sectPr w:rsidR="004E5F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725D2"/>
    <w:multiLevelType w:val="hybridMultilevel"/>
    <w:tmpl w:val="65FE4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64"/>
    <w:rsid w:val="0001065D"/>
    <w:rsid w:val="00147A9A"/>
    <w:rsid w:val="00152209"/>
    <w:rsid w:val="00394E59"/>
    <w:rsid w:val="004E5F81"/>
    <w:rsid w:val="006922E2"/>
    <w:rsid w:val="006F5B0B"/>
    <w:rsid w:val="00720772"/>
    <w:rsid w:val="00727E77"/>
    <w:rsid w:val="007D6C82"/>
    <w:rsid w:val="008363CB"/>
    <w:rsid w:val="00862264"/>
    <w:rsid w:val="008C2D6E"/>
    <w:rsid w:val="00955FDF"/>
    <w:rsid w:val="00D11FF2"/>
    <w:rsid w:val="00D537B4"/>
    <w:rsid w:val="00E5614E"/>
    <w:rsid w:val="00F1209C"/>
    <w:rsid w:val="00FF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EFAE2"/>
  <w15:chartTrackingRefBased/>
  <w15:docId w15:val="{BCF7C333-3A61-4C1B-92A5-4B300A01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264"/>
    <w:pPr>
      <w:ind w:left="720"/>
      <w:contextualSpacing/>
    </w:pPr>
  </w:style>
  <w:style w:type="table" w:styleId="TableGrid">
    <w:name w:val="Table Grid"/>
    <w:basedOn w:val="TableNormal"/>
    <w:uiPriority w:val="39"/>
    <w:rsid w:val="00E56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6C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tent.tfl.gov.uk/traffic-note-3-cordon-and-screenline-surveys-2011.pdf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Cycling\Quietway1\Copy%20of%20Counts_Dunton_29_7_14%20(2019_06_27%2021_53_24%20UTC)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Cycling\Quietway1\Copy%20of%20Counts_Dunton_29_7_14%20(2019_06_27%2021_53_24%20UTC)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Cycling\Quietway1\Copy%20of%20Counts_Dunton_29_7_14%20(2019_06_27%2021_53_24%20UTC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100"/>
              <a:t>Cycle flow per hour, Cycleway 1 (Willow</a:t>
            </a:r>
            <a:r>
              <a:rPr lang="en-GB" sz="1100" baseline="0"/>
              <a:t> Walk). Lockdown compared with previous year. Note 70% drop in cycling.</a:t>
            </a:r>
            <a:endParaRPr lang="en-GB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0835236220472441"/>
          <c:y val="0.22025481189851268"/>
          <c:w val="0.78114151356080486"/>
          <c:h val="0.67234580052493442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Dunton_16Jun20!$J$28</c:f>
              <c:strCache>
                <c:ptCount val="1"/>
                <c:pt idx="0">
                  <c:v>01-May-19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(Dunton_16Jun20!$Q$28,Dunton_16Jun20!$Q$30)</c:f>
                <c:numCache>
                  <c:formatCode>General</c:formatCode>
                  <c:ptCount val="2"/>
                  <c:pt idx="0">
                    <c:v>59.868295449260955</c:v>
                  </c:pt>
                  <c:pt idx="1">
                    <c:v>58.11363100428354</c:v>
                  </c:pt>
                </c:numCache>
              </c:numRef>
            </c:plus>
            <c:minus>
              <c:numRef>
                <c:f>(Dunton_16Jun20!$Q$28,Dunton_16Jun20!$Q$30)</c:f>
                <c:numCache>
                  <c:formatCode>General</c:formatCode>
                  <c:ptCount val="2"/>
                  <c:pt idx="0">
                    <c:v>59.868295449260955</c:v>
                  </c:pt>
                  <c:pt idx="1">
                    <c:v>58.11363100428354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(Dunton_16Jun20!$K$27,Dunton_16Jun20!$K$29)</c:f>
              <c:strCache>
                <c:ptCount val="2"/>
                <c:pt idx="0">
                  <c:v>am peak westbound</c:v>
                </c:pt>
                <c:pt idx="1">
                  <c:v>pm peak eastbound</c:v>
                </c:pt>
              </c:strCache>
            </c:strRef>
          </c:cat>
          <c:val>
            <c:numRef>
              <c:f>(Dunton_16Jun20!$M$28,Dunton_16Jun20!$M$30)</c:f>
              <c:numCache>
                <c:formatCode>General</c:formatCode>
                <c:ptCount val="2"/>
                <c:pt idx="0">
                  <c:v>933</c:v>
                </c:pt>
                <c:pt idx="1">
                  <c:v>659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60-4216-B095-9393D516C11D}"/>
            </c:ext>
          </c:extLst>
        </c:ser>
        <c:ser>
          <c:idx val="0"/>
          <c:order val="1"/>
          <c:tx>
            <c:strRef>
              <c:f>Dunton_16Jun20!$J$27</c:f>
              <c:strCache>
                <c:ptCount val="1"/>
                <c:pt idx="0">
                  <c:v>16-Jun-20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(Dunton_16Jun20!$Q$27,Dunton_16Jun20!$Q$29)</c:f>
                <c:numCache>
                  <c:formatCode>General</c:formatCode>
                  <c:ptCount val="2"/>
                  <c:pt idx="0">
                    <c:v>29.38234764175893</c:v>
                  </c:pt>
                  <c:pt idx="1">
                    <c:v>28.805999375130174</c:v>
                  </c:pt>
                </c:numCache>
              </c:numRef>
            </c:plus>
            <c:minus>
              <c:numRef>
                <c:f>(Dunton_16Jun20!$Q$29,Dunton_16Jun20!$Q$29)</c:f>
                <c:numCache>
                  <c:formatCode>General</c:formatCode>
                  <c:ptCount val="2"/>
                  <c:pt idx="0">
                    <c:v>28.805999375130174</c:v>
                  </c:pt>
                  <c:pt idx="1">
                    <c:v>28.805999375130174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(Dunton_16Jun20!$K$27,Dunton_16Jun20!$K$29)</c:f>
              <c:strCache>
                <c:ptCount val="2"/>
                <c:pt idx="0">
                  <c:v>am peak westbound</c:v>
                </c:pt>
                <c:pt idx="1">
                  <c:v>pm peak eastbound</c:v>
                </c:pt>
              </c:strCache>
            </c:strRef>
          </c:cat>
          <c:val>
            <c:numRef>
              <c:f>(Dunton_16Jun20!$M$27,Dunton_16Jun20!$M$29)</c:f>
              <c:numCache>
                <c:formatCode>General</c:formatCode>
                <c:ptCount val="2"/>
                <c:pt idx="0" formatCode="0">
                  <c:v>222.85714285714286</c:v>
                </c:pt>
                <c:pt idx="1">
                  <c:v>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60-4216-B095-9393D516C1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10633456"/>
        <c:axId val="2107959504"/>
      </c:barChart>
      <c:catAx>
        <c:axId val="2110633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07959504"/>
        <c:crosses val="autoZero"/>
        <c:auto val="1"/>
        <c:lblAlgn val="ctr"/>
        <c:lblOffset val="100"/>
        <c:noMultiLvlLbl val="0"/>
      </c:catAx>
      <c:valAx>
        <c:axId val="2107959504"/>
        <c:scaling>
          <c:orientation val="minMax"/>
          <c:max val="1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10633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6745363079615048"/>
          <c:y val="0.20858741615631379"/>
          <c:w val="0.18550612423447066"/>
          <c:h val="0.17866360454943131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000"/>
              <a:t>% female cyclists, Quietway 1, Dunton Rd, pre v during</a:t>
            </a:r>
            <a:r>
              <a:rPr lang="en-GB" sz="1000" baseline="0"/>
              <a:t> lockdown</a:t>
            </a:r>
            <a:r>
              <a:rPr lang="en-GB" sz="1000"/>
              <a:t>. +/- 95% Conf ints. % Female higher</a:t>
            </a:r>
            <a:r>
              <a:rPr lang="en-GB" sz="1000" baseline="0"/>
              <a:t> during lockdown, but not stat </a:t>
            </a:r>
            <a:r>
              <a:rPr lang="en-GB" sz="1000"/>
              <a:t>sig diff. Data for Willow Walk Eastbound.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Dunton_16Jun20!$T$30:$V$30</c:f>
                <c:numCache>
                  <c:formatCode>General</c:formatCode>
                  <c:ptCount val="3"/>
                  <c:pt idx="0">
                    <c:v>4.0809165201691151E-2</c:v>
                  </c:pt>
                  <c:pt idx="1">
                    <c:v>6.5191517548198907E-2</c:v>
                  </c:pt>
                  <c:pt idx="2">
                    <c:v>3.4151223655257607E-2</c:v>
                  </c:pt>
                </c:numCache>
              </c:numRef>
            </c:plus>
            <c:minus>
              <c:numRef>
                <c:f>Dunton_16Jun20!$T$30:$V$30</c:f>
                <c:numCache>
                  <c:formatCode>General</c:formatCode>
                  <c:ptCount val="3"/>
                  <c:pt idx="0">
                    <c:v>4.0809165201691151E-2</c:v>
                  </c:pt>
                  <c:pt idx="1">
                    <c:v>6.5191517548198907E-2</c:v>
                  </c:pt>
                  <c:pt idx="2">
                    <c:v>3.4151223655257607E-2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Dunton_16Jun20!$T$27:$U$27</c:f>
              <c:strCache>
                <c:ptCount val="2"/>
                <c:pt idx="0">
                  <c:v>Midweek 2018</c:v>
                </c:pt>
                <c:pt idx="1">
                  <c:v>Midweek 2020</c:v>
                </c:pt>
              </c:strCache>
            </c:strRef>
          </c:cat>
          <c:val>
            <c:numRef>
              <c:f>Dunton_16Jun20!$T$28:$U$28</c:f>
              <c:numCache>
                <c:formatCode>0.0%</c:formatCode>
                <c:ptCount val="2"/>
                <c:pt idx="0">
                  <c:v>0.25910064239828695</c:v>
                </c:pt>
                <c:pt idx="1">
                  <c:v>0.32075471698113206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21-4571-B8C3-1BF109129D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04619791"/>
        <c:axId val="1"/>
      </c:barChart>
      <c:catAx>
        <c:axId val="21046197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04619791"/>
        <c:crosses val="autoZero"/>
        <c:crossBetween val="between"/>
        <c:majorUnit val="0.1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aseline="0"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000"/>
              <a:t>% female cyclists, Quietway 1, Dunton Rd. +/- 95% Conf ints. % Female sig up at weekend cmpared with weekdays. Data for all roads at Dunton Rd intersection.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Dunton_16Jun20!$T$30:$V$30</c:f>
                <c:numCache>
                  <c:formatCode>General</c:formatCode>
                  <c:ptCount val="3"/>
                  <c:pt idx="0">
                    <c:v>4.0809165201691151E-2</c:v>
                  </c:pt>
                  <c:pt idx="1">
                    <c:v>6.5191517548198907E-2</c:v>
                  </c:pt>
                  <c:pt idx="2">
                    <c:v>3.4151223655257607E-2</c:v>
                  </c:pt>
                </c:numCache>
              </c:numRef>
            </c:plus>
            <c:minus>
              <c:numRef>
                <c:f>Dunton_16Jun20!$T$30:$V$30</c:f>
                <c:numCache>
                  <c:formatCode>General</c:formatCode>
                  <c:ptCount val="3"/>
                  <c:pt idx="0">
                    <c:v>4.0809165201691151E-2</c:v>
                  </c:pt>
                  <c:pt idx="1">
                    <c:v>6.5191517548198907E-2</c:v>
                  </c:pt>
                  <c:pt idx="2">
                    <c:v>3.4151223655257607E-2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Dunton_16Jun20!$V$27:$W$27</c:f>
              <c:strCache>
                <c:ptCount val="2"/>
                <c:pt idx="0">
                  <c:v>Midweek 2020</c:v>
                </c:pt>
                <c:pt idx="1">
                  <c:v>Weekend 2020</c:v>
                </c:pt>
              </c:strCache>
            </c:strRef>
          </c:cat>
          <c:val>
            <c:numRef>
              <c:f>Dunton_16Jun20!$V$28:$W$28</c:f>
              <c:numCache>
                <c:formatCode>0.0%</c:formatCode>
                <c:ptCount val="2"/>
                <c:pt idx="0">
                  <c:v>0.31854838709677419</c:v>
                </c:pt>
                <c:pt idx="1">
                  <c:v>0.41509433962264153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D7-4DF6-9B33-C8FC3AB1F8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04619791"/>
        <c:axId val="1"/>
      </c:barChart>
      <c:catAx>
        <c:axId val="21046197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04619791"/>
        <c:crosses val="autoZero"/>
        <c:crossBetween val="between"/>
        <c:majorUnit val="0.1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aseline="0"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Lynn</dc:creator>
  <cp:keywords/>
  <dc:description/>
  <cp:lastModifiedBy>Bruce Lynn</cp:lastModifiedBy>
  <cp:revision>9</cp:revision>
  <dcterms:created xsi:type="dcterms:W3CDTF">2020-06-19T17:25:00Z</dcterms:created>
  <dcterms:modified xsi:type="dcterms:W3CDTF">2020-06-21T19:42:00Z</dcterms:modified>
</cp:coreProperties>
</file>